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55" w:type="dxa"/>
        <w:tblLook w:val="04A0" w:firstRow="1" w:lastRow="0" w:firstColumn="1" w:lastColumn="0" w:noHBand="0" w:noVBand="1"/>
      </w:tblPr>
      <w:tblGrid>
        <w:gridCol w:w="1028"/>
        <w:gridCol w:w="5627"/>
        <w:gridCol w:w="3780"/>
        <w:gridCol w:w="2880"/>
        <w:gridCol w:w="1440"/>
      </w:tblGrid>
      <w:tr w:rsidR="009B5524" w:rsidRPr="00E53593" w14:paraId="654388CF" w14:textId="77777777" w:rsidTr="009B5524">
        <w:trPr>
          <w:trHeight w:val="603"/>
          <w:tblHeader/>
        </w:trPr>
        <w:tc>
          <w:tcPr>
            <w:tcW w:w="14755" w:type="dxa"/>
            <w:gridSpan w:val="5"/>
            <w:tcBorders>
              <w:top w:val="nil"/>
              <w:left w:val="nil"/>
              <w:bottom w:val="single" w:sz="4" w:space="0" w:color="auto"/>
              <w:right w:val="nil"/>
            </w:tcBorders>
            <w:vAlign w:val="center"/>
          </w:tcPr>
          <w:p w14:paraId="47318027" w14:textId="77777777" w:rsidR="009B5524" w:rsidRPr="00EE0291" w:rsidRDefault="009B5524" w:rsidP="009B5524">
            <w:pPr>
              <w:pStyle w:val="Header"/>
              <w:jc w:val="center"/>
              <w:rPr>
                <w:b/>
                <w:bCs/>
              </w:rPr>
            </w:pPr>
            <w:bookmarkStart w:id="0" w:name="_GoBack"/>
            <w:bookmarkEnd w:id="0"/>
            <w:r w:rsidRPr="00EE0291">
              <w:rPr>
                <w:b/>
                <w:bCs/>
              </w:rPr>
              <w:t>Phụ lục I</w:t>
            </w:r>
          </w:p>
          <w:p w14:paraId="510E2FFC" w14:textId="77777777" w:rsidR="009B5524" w:rsidRPr="00EE0291" w:rsidRDefault="009B5524" w:rsidP="009B5524">
            <w:pPr>
              <w:pStyle w:val="Header"/>
              <w:jc w:val="center"/>
              <w:rPr>
                <w:b/>
                <w:bCs/>
              </w:rPr>
            </w:pPr>
            <w:r w:rsidRPr="00A62332">
              <w:rPr>
                <w:b/>
                <w:bCs/>
              </w:rPr>
              <w:t xml:space="preserve">DANH MỤC CÁC CHỈ TIÊU CỤ THỂ THỰC HIỆN </w:t>
            </w:r>
            <w:r w:rsidRPr="00A62332">
              <w:rPr>
                <w:rFonts w:cs="Times New Roman"/>
                <w:b/>
                <w:sz w:val="28"/>
                <w:szCs w:val="28"/>
              </w:rPr>
              <w:t>CHƯƠNG TRÌNH HÀNH ĐỘNG SỐ 26-CTR/TU NGÀY 22/4/2026 CỦA BAN CHẤP HÀNH ĐẢNG BỘ TỈNH KHÓA I THỰC HIỆN NGHỊ QUYẾT SỐ 80-NQ/TW NGÀY 07/01/2026 CỦA BỘ CHÍNH TRỊ VỀ PHÁT TRIỂN VĂN HOÁ VIỆT NAM</w:t>
            </w:r>
            <w:r w:rsidRPr="00A62332">
              <w:rPr>
                <w:b/>
                <w:bCs/>
              </w:rPr>
              <w:t xml:space="preserve"> ĐẾN</w:t>
            </w:r>
            <w:r w:rsidRPr="00EE0291">
              <w:rPr>
                <w:b/>
                <w:bCs/>
              </w:rPr>
              <w:t xml:space="preserve"> NĂM 2030</w:t>
            </w:r>
          </w:p>
          <w:p w14:paraId="2853ABE4" w14:textId="1B380E38" w:rsidR="009B5524" w:rsidRPr="00EE0291" w:rsidRDefault="009B5524" w:rsidP="009B5524">
            <w:pPr>
              <w:pStyle w:val="Header"/>
              <w:jc w:val="center"/>
              <w:rPr>
                <w:i/>
                <w:iCs/>
              </w:rPr>
            </w:pPr>
            <w:r w:rsidRPr="00EE0291">
              <w:rPr>
                <w:i/>
                <w:iCs/>
              </w:rPr>
              <w:t xml:space="preserve">(Kèm theo Kế hoạch số          /KH-UBND ngày </w:t>
            </w:r>
            <w:r>
              <w:rPr>
                <w:i/>
                <w:iCs/>
              </w:rPr>
              <w:t xml:space="preserve">  /    </w:t>
            </w:r>
            <w:r w:rsidRPr="00EE0291">
              <w:rPr>
                <w:i/>
                <w:iCs/>
              </w:rPr>
              <w:t xml:space="preserve">/2026 của Ủy ban nhân dân </w:t>
            </w:r>
            <w:r>
              <w:rPr>
                <w:i/>
                <w:iCs/>
              </w:rPr>
              <w:t>t</w:t>
            </w:r>
            <w:r w:rsidRPr="00EE0291">
              <w:rPr>
                <w:i/>
                <w:iCs/>
              </w:rPr>
              <w:t>ỉnh)</w:t>
            </w:r>
          </w:p>
          <w:p w14:paraId="6DF82F82" w14:textId="77777777" w:rsidR="009B5524" w:rsidRPr="00E53593" w:rsidRDefault="009B5524" w:rsidP="00A23A72">
            <w:pPr>
              <w:spacing w:after="0" w:line="240" w:lineRule="auto"/>
              <w:contextualSpacing w:val="0"/>
              <w:jc w:val="center"/>
              <w:rPr>
                <w:rFonts w:cs="Times New Roman"/>
                <w:b/>
                <w:sz w:val="28"/>
                <w:szCs w:val="28"/>
              </w:rPr>
            </w:pPr>
          </w:p>
        </w:tc>
      </w:tr>
      <w:tr w:rsidR="00E0322C" w:rsidRPr="00E53593" w14:paraId="24A63AE1" w14:textId="77777777" w:rsidTr="009B5524">
        <w:trPr>
          <w:trHeight w:val="603"/>
          <w:tblHeader/>
        </w:trPr>
        <w:tc>
          <w:tcPr>
            <w:tcW w:w="1028" w:type="dxa"/>
            <w:tcBorders>
              <w:top w:val="single" w:sz="4" w:space="0" w:color="auto"/>
            </w:tcBorders>
            <w:vAlign w:val="center"/>
          </w:tcPr>
          <w:p w14:paraId="35D98D25" w14:textId="45198ADF" w:rsidR="00622028" w:rsidRPr="00E53593" w:rsidRDefault="00622028" w:rsidP="00030266">
            <w:pPr>
              <w:spacing w:after="0" w:line="240" w:lineRule="auto"/>
              <w:contextualSpacing w:val="0"/>
              <w:jc w:val="center"/>
              <w:rPr>
                <w:rFonts w:cs="Times New Roman"/>
                <w:b/>
                <w:sz w:val="28"/>
                <w:szCs w:val="28"/>
              </w:rPr>
            </w:pPr>
            <w:r w:rsidRPr="00E53593">
              <w:rPr>
                <w:rFonts w:cs="Times New Roman"/>
                <w:b/>
                <w:sz w:val="28"/>
                <w:szCs w:val="28"/>
              </w:rPr>
              <w:t>TT</w:t>
            </w:r>
          </w:p>
        </w:tc>
        <w:tc>
          <w:tcPr>
            <w:tcW w:w="5627" w:type="dxa"/>
            <w:tcBorders>
              <w:top w:val="single" w:sz="4" w:space="0" w:color="auto"/>
            </w:tcBorders>
            <w:vAlign w:val="center"/>
          </w:tcPr>
          <w:p w14:paraId="7608A2D9" w14:textId="4871638B" w:rsidR="00622028" w:rsidRPr="00E53593" w:rsidRDefault="00725359" w:rsidP="00725359">
            <w:pPr>
              <w:spacing w:before="120" w:line="240" w:lineRule="auto"/>
              <w:contextualSpacing w:val="0"/>
              <w:jc w:val="center"/>
              <w:rPr>
                <w:rFonts w:cs="Times New Roman"/>
                <w:b/>
                <w:sz w:val="28"/>
                <w:szCs w:val="28"/>
              </w:rPr>
            </w:pPr>
            <w:r w:rsidRPr="00E53593">
              <w:rPr>
                <w:rFonts w:cs="Times New Roman"/>
                <w:b/>
                <w:sz w:val="28"/>
                <w:szCs w:val="28"/>
              </w:rPr>
              <w:t xml:space="preserve">CHỈ </w:t>
            </w:r>
            <w:r w:rsidR="00622028" w:rsidRPr="00E53593">
              <w:rPr>
                <w:rFonts w:cs="Times New Roman"/>
                <w:b/>
                <w:sz w:val="28"/>
                <w:szCs w:val="28"/>
              </w:rPr>
              <w:t>TIÊU</w:t>
            </w:r>
          </w:p>
        </w:tc>
        <w:tc>
          <w:tcPr>
            <w:tcW w:w="3780" w:type="dxa"/>
            <w:tcBorders>
              <w:top w:val="single" w:sz="4" w:space="0" w:color="auto"/>
            </w:tcBorders>
            <w:vAlign w:val="center"/>
          </w:tcPr>
          <w:p w14:paraId="445C59F0" w14:textId="62BE5B54" w:rsidR="00622028" w:rsidRPr="00E53593" w:rsidRDefault="00622028" w:rsidP="009E52B2">
            <w:pPr>
              <w:spacing w:before="120" w:line="240" w:lineRule="auto"/>
              <w:contextualSpacing w:val="0"/>
              <w:jc w:val="center"/>
              <w:rPr>
                <w:rFonts w:cs="Times New Roman"/>
                <w:b/>
                <w:sz w:val="28"/>
                <w:szCs w:val="28"/>
              </w:rPr>
            </w:pPr>
            <w:r w:rsidRPr="00E53593">
              <w:rPr>
                <w:rFonts w:cs="Times New Roman"/>
                <w:b/>
                <w:sz w:val="28"/>
                <w:szCs w:val="28"/>
              </w:rPr>
              <w:t xml:space="preserve">ĐƠN VỊ </w:t>
            </w:r>
            <w:r w:rsidR="009E52B2" w:rsidRPr="00E53593">
              <w:rPr>
                <w:rFonts w:cs="Times New Roman"/>
                <w:b/>
                <w:sz w:val="28"/>
                <w:szCs w:val="28"/>
              </w:rPr>
              <w:t>CHỦ TRÌ</w:t>
            </w:r>
          </w:p>
        </w:tc>
        <w:tc>
          <w:tcPr>
            <w:tcW w:w="2880" w:type="dxa"/>
            <w:tcBorders>
              <w:top w:val="single" w:sz="4" w:space="0" w:color="auto"/>
            </w:tcBorders>
            <w:vAlign w:val="center"/>
          </w:tcPr>
          <w:p w14:paraId="25F336D0" w14:textId="77777777" w:rsidR="00622028" w:rsidRPr="00E53593" w:rsidRDefault="00622028" w:rsidP="00402B61">
            <w:pPr>
              <w:spacing w:after="0" w:line="240" w:lineRule="auto"/>
              <w:contextualSpacing w:val="0"/>
              <w:jc w:val="center"/>
              <w:rPr>
                <w:rFonts w:cs="Times New Roman"/>
                <w:b/>
                <w:sz w:val="28"/>
                <w:szCs w:val="28"/>
              </w:rPr>
            </w:pPr>
            <w:r w:rsidRPr="00E53593">
              <w:rPr>
                <w:rFonts w:cs="Times New Roman"/>
                <w:b/>
                <w:sz w:val="28"/>
                <w:szCs w:val="28"/>
              </w:rPr>
              <w:t>ĐƠN VỊ PHỐI HỢP</w:t>
            </w:r>
          </w:p>
        </w:tc>
        <w:tc>
          <w:tcPr>
            <w:tcW w:w="1440" w:type="dxa"/>
            <w:tcBorders>
              <w:top w:val="single" w:sz="4" w:space="0" w:color="auto"/>
            </w:tcBorders>
            <w:vAlign w:val="center"/>
          </w:tcPr>
          <w:p w14:paraId="7E8A8F3E" w14:textId="77777777" w:rsidR="00622028" w:rsidRPr="00E53593" w:rsidRDefault="00622028" w:rsidP="00A23A72">
            <w:pPr>
              <w:spacing w:after="0" w:line="240" w:lineRule="auto"/>
              <w:contextualSpacing w:val="0"/>
              <w:jc w:val="center"/>
              <w:rPr>
                <w:rFonts w:cs="Times New Roman"/>
                <w:b/>
                <w:sz w:val="28"/>
                <w:szCs w:val="28"/>
              </w:rPr>
            </w:pPr>
            <w:r w:rsidRPr="00E53593">
              <w:rPr>
                <w:rFonts w:cs="Times New Roman"/>
                <w:b/>
                <w:sz w:val="28"/>
                <w:szCs w:val="28"/>
              </w:rPr>
              <w:t>GHI CHÚ</w:t>
            </w:r>
          </w:p>
        </w:tc>
      </w:tr>
      <w:tr w:rsidR="00EE0291" w:rsidRPr="00E53593" w14:paraId="3989788E" w14:textId="77777777" w:rsidTr="00402B61">
        <w:trPr>
          <w:trHeight w:val="603"/>
          <w:tblHeader/>
        </w:trPr>
        <w:tc>
          <w:tcPr>
            <w:tcW w:w="1028" w:type="dxa"/>
            <w:vAlign w:val="center"/>
          </w:tcPr>
          <w:p w14:paraId="406FA536" w14:textId="69E2C410"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1</w:t>
            </w:r>
          </w:p>
        </w:tc>
        <w:tc>
          <w:tcPr>
            <w:tcW w:w="5627" w:type="dxa"/>
            <w:vAlign w:val="center"/>
          </w:tcPr>
          <w:p w14:paraId="1621EC46" w14:textId="18829F30"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Phấn đấu 100% chính quyền địa phương 2 cấp có thiết chế văn hoá, thể thao; 90% thiết chế văn hoá cơ sở hoạt động thường xuyên, hiệu quả, thu hút và phục vụ thiết thực nhu cầu vui chơi, giải trí cho người dân.</w:t>
            </w:r>
          </w:p>
        </w:tc>
        <w:tc>
          <w:tcPr>
            <w:tcW w:w="3780" w:type="dxa"/>
            <w:vAlign w:val="center"/>
          </w:tcPr>
          <w:p w14:paraId="2E72033C" w14:textId="7B3D9A79"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Văn hóa, Thể thao và Du lịch, UBND các xã, phường</w:t>
            </w:r>
          </w:p>
        </w:tc>
        <w:tc>
          <w:tcPr>
            <w:tcW w:w="2880" w:type="dxa"/>
            <w:vAlign w:val="center"/>
          </w:tcPr>
          <w:p w14:paraId="66F2EB69" w14:textId="47976DD6"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Các đơn vị liên quan</w:t>
            </w:r>
          </w:p>
        </w:tc>
        <w:tc>
          <w:tcPr>
            <w:tcW w:w="1440" w:type="dxa"/>
            <w:vAlign w:val="center"/>
          </w:tcPr>
          <w:p w14:paraId="103E1A73" w14:textId="77777777" w:rsidR="00EE0291" w:rsidRPr="00E53593" w:rsidRDefault="00EE0291" w:rsidP="00A23A72">
            <w:pPr>
              <w:spacing w:after="0" w:line="240" w:lineRule="auto"/>
              <w:contextualSpacing w:val="0"/>
              <w:jc w:val="center"/>
              <w:rPr>
                <w:rFonts w:cs="Times New Roman"/>
                <w:b/>
                <w:sz w:val="28"/>
                <w:szCs w:val="28"/>
              </w:rPr>
            </w:pPr>
          </w:p>
        </w:tc>
      </w:tr>
      <w:tr w:rsidR="00EE0291" w:rsidRPr="00E53593" w14:paraId="7060F1EB" w14:textId="77777777" w:rsidTr="00402B61">
        <w:trPr>
          <w:trHeight w:val="603"/>
          <w:tblHeader/>
        </w:trPr>
        <w:tc>
          <w:tcPr>
            <w:tcW w:w="1028" w:type="dxa"/>
            <w:vAlign w:val="center"/>
          </w:tcPr>
          <w:p w14:paraId="2D04646E" w14:textId="175D8987"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2</w:t>
            </w:r>
          </w:p>
        </w:tc>
        <w:tc>
          <w:tcPr>
            <w:tcW w:w="5627" w:type="dxa"/>
            <w:vAlign w:val="center"/>
          </w:tcPr>
          <w:p w14:paraId="1C8DA023" w14:textId="58DBCD3E" w:rsidR="00EE0291" w:rsidRPr="00E53593" w:rsidRDefault="00EE0291" w:rsidP="00402B61">
            <w:pPr>
              <w:spacing w:before="120" w:line="380" w:lineRule="exact"/>
              <w:rPr>
                <w:rFonts w:cs="Times New Roman"/>
                <w:b/>
                <w:sz w:val="28"/>
                <w:szCs w:val="28"/>
              </w:rPr>
            </w:pPr>
            <w:r w:rsidRPr="00E53593">
              <w:rPr>
                <w:rFonts w:eastAsia="Calibri" w:cs="Times New Roman"/>
                <w:bCs/>
                <w:iCs/>
                <w:color w:val="000000"/>
                <w:sz w:val="28"/>
                <w:szCs w:val="28"/>
                <w14:ligatures w14:val="standardContextual"/>
              </w:rPr>
              <w:t xml:space="preserve">Phấn đấu hoàn thành việc số hoá 100% các di sản văn hoá đã được xếp hạng cấp quốc gia, cấp quốc gia đặc biệt vào năm 2026; 100% di tích được xếp hạng quốc gia, quốc gia đặc biệt được tu bổ, chống xuống cấp di tích, trong đó triển khai xây dựng mới Bảo tàng Đồng Tháp Mười tại </w:t>
            </w:r>
            <w:r w:rsidRPr="00E53593">
              <w:rPr>
                <w:rFonts w:eastAsia="Calibri" w:cs="Times New Roman"/>
                <w:color w:val="000000"/>
                <w:sz w:val="28"/>
                <w:szCs w:val="28"/>
                <w14:ligatures w14:val="standardContextual"/>
              </w:rPr>
              <w:t>Khu di tích quốc gia đặc biệt Gò Tháp</w:t>
            </w:r>
            <w:r w:rsidRPr="00E53593">
              <w:rPr>
                <w:rFonts w:eastAsia="Calibri" w:cs="Times New Roman"/>
                <w:bCs/>
                <w:iCs/>
                <w:color w:val="000000"/>
                <w:sz w:val="28"/>
                <w:szCs w:val="28"/>
                <w14:ligatures w14:val="standardContextual"/>
              </w:rPr>
              <w:t xml:space="preserve">; </w:t>
            </w:r>
            <w:r w:rsidRPr="00E53593">
              <w:rPr>
                <w:rFonts w:eastAsia="Calibri" w:cs="Times New Roman"/>
                <w:bCs/>
                <w:iCs/>
                <w:color w:val="000000"/>
                <w:spacing w:val="4"/>
                <w:sz w:val="28"/>
                <w:szCs w:val="28"/>
                <w14:ligatures w14:val="standardContextual"/>
              </w:rPr>
              <w:t xml:space="preserve">nâng cấp di tích quốc gia đặc biệt Ấp Bắc, Rạch Gầm - Xoài Mút, Gò Tháp, Trương Định, di tích quốc gia Lăng Hoàng Gia, Đình Long Hưng </w:t>
            </w:r>
            <w:r w:rsidRPr="00E53593">
              <w:rPr>
                <w:rFonts w:eastAsia="Calibri" w:cs="Times New Roman"/>
                <w:bCs/>
                <w:i/>
                <w:color w:val="000000"/>
                <w:spacing w:val="4"/>
                <w:sz w:val="28"/>
                <w:szCs w:val="28"/>
                <w14:ligatures w14:val="standardContextual"/>
              </w:rPr>
              <w:t>(di tích Nam kỳ Khởi nghĩa)</w:t>
            </w:r>
            <w:r w:rsidRPr="00E53593">
              <w:rPr>
                <w:rFonts w:eastAsia="Calibri" w:cs="Times New Roman"/>
                <w:bCs/>
                <w:iCs/>
                <w:color w:val="000000"/>
                <w:spacing w:val="4"/>
                <w:sz w:val="28"/>
                <w:szCs w:val="28"/>
                <w14:ligatures w14:val="standardContextual"/>
              </w:rPr>
              <w:t>;</w:t>
            </w:r>
            <w:r w:rsidRPr="00E53593">
              <w:rPr>
                <w:rFonts w:eastAsia="Calibri" w:cs="Times New Roman"/>
                <w:bCs/>
                <w:iCs/>
                <w:color w:val="000000"/>
                <w:sz w:val="28"/>
                <w:szCs w:val="28"/>
                <w14:ligatures w14:val="standardContextual"/>
              </w:rPr>
              <w:t xml:space="preserve"> số hoá 100% bảo vật quốc gia.</w:t>
            </w:r>
          </w:p>
        </w:tc>
        <w:tc>
          <w:tcPr>
            <w:tcW w:w="3780" w:type="dxa"/>
            <w:vAlign w:val="center"/>
          </w:tcPr>
          <w:p w14:paraId="00451FD5" w14:textId="067BF637" w:rsidR="00EE0291" w:rsidRPr="00E53593" w:rsidRDefault="00EE0291" w:rsidP="00402B61">
            <w:pPr>
              <w:spacing w:before="120" w:line="240" w:lineRule="auto"/>
              <w:contextualSpacing w:val="0"/>
              <w:rPr>
                <w:rFonts w:cs="Times New Roman"/>
                <w:b/>
                <w:sz w:val="28"/>
                <w:szCs w:val="28"/>
              </w:rPr>
            </w:pPr>
            <w:r w:rsidRPr="00E53593">
              <w:rPr>
                <w:rFonts w:cs="Times New Roman"/>
                <w:bCs/>
                <w:sz w:val="28"/>
                <w:szCs w:val="28"/>
              </w:rPr>
              <w:t>Sở Văn hóa, Thể thao và Du lịch; Ban Quản lý dự án tỉnh; Ban Quản lý dự án đầu tư xây dựng công trình dân dụng và công nghiệp tỉnh theo chức năng, nhiệm vụ</w:t>
            </w:r>
          </w:p>
        </w:tc>
        <w:tc>
          <w:tcPr>
            <w:tcW w:w="2880" w:type="dxa"/>
            <w:vAlign w:val="center"/>
          </w:tcPr>
          <w:p w14:paraId="76E2DBEF" w14:textId="6315ED87"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Sở Khoa học và Công nghệ, Sở Tài chính, các sở, ngành tỉnh và địa phương</w:t>
            </w:r>
            <w:r w:rsidR="003A3064" w:rsidRPr="00E53593">
              <w:rPr>
                <w:rFonts w:cs="Times New Roman"/>
                <w:bCs/>
                <w:sz w:val="28"/>
                <w:szCs w:val="28"/>
              </w:rPr>
              <w:t xml:space="preserve"> có liên quan</w:t>
            </w:r>
          </w:p>
        </w:tc>
        <w:tc>
          <w:tcPr>
            <w:tcW w:w="1440" w:type="dxa"/>
            <w:vAlign w:val="center"/>
          </w:tcPr>
          <w:p w14:paraId="781C4A72" w14:textId="77777777" w:rsidR="00EE0291" w:rsidRPr="00E53593" w:rsidRDefault="00EE0291" w:rsidP="00A23A72">
            <w:pPr>
              <w:spacing w:after="0" w:line="240" w:lineRule="auto"/>
              <w:contextualSpacing w:val="0"/>
              <w:jc w:val="center"/>
              <w:rPr>
                <w:rFonts w:cs="Times New Roman"/>
                <w:b/>
                <w:sz w:val="28"/>
                <w:szCs w:val="28"/>
              </w:rPr>
            </w:pPr>
          </w:p>
        </w:tc>
      </w:tr>
      <w:tr w:rsidR="00EE0291" w:rsidRPr="00E53593" w14:paraId="20D3E5D5" w14:textId="77777777" w:rsidTr="00402B61">
        <w:trPr>
          <w:trHeight w:val="603"/>
          <w:tblHeader/>
        </w:trPr>
        <w:tc>
          <w:tcPr>
            <w:tcW w:w="1028" w:type="dxa"/>
            <w:vAlign w:val="center"/>
          </w:tcPr>
          <w:p w14:paraId="04DCA709" w14:textId="36873083"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lastRenderedPageBreak/>
              <w:t>3</w:t>
            </w:r>
          </w:p>
        </w:tc>
        <w:tc>
          <w:tcPr>
            <w:tcW w:w="5627" w:type="dxa"/>
            <w:vAlign w:val="center"/>
          </w:tcPr>
          <w:p w14:paraId="2000BD11" w14:textId="76BE7F67"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 Phấn đấu 100% học sinh, học viên, sinh viên trong hệ thống giáo dục trên địa bàn tỉnh được tiếp cận, tham gia các hoạt động văn hoá, nghệ thuật.</w:t>
            </w:r>
          </w:p>
        </w:tc>
        <w:tc>
          <w:tcPr>
            <w:tcW w:w="3780" w:type="dxa"/>
            <w:vAlign w:val="center"/>
          </w:tcPr>
          <w:p w14:paraId="576202E0" w14:textId="4C03B000"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Giáo dục và Đào tạo</w:t>
            </w:r>
          </w:p>
        </w:tc>
        <w:tc>
          <w:tcPr>
            <w:tcW w:w="2880" w:type="dxa"/>
            <w:vAlign w:val="center"/>
          </w:tcPr>
          <w:p w14:paraId="66153313" w14:textId="1A7BCF78" w:rsidR="00EE0291" w:rsidRPr="00E53593" w:rsidRDefault="003A3064" w:rsidP="003A3064">
            <w:pPr>
              <w:spacing w:after="0" w:line="240" w:lineRule="auto"/>
              <w:contextualSpacing w:val="0"/>
              <w:rPr>
                <w:rFonts w:cs="Times New Roman"/>
                <w:bCs/>
                <w:sz w:val="28"/>
                <w:szCs w:val="28"/>
              </w:rPr>
            </w:pPr>
            <w:r w:rsidRPr="00E53593">
              <w:rPr>
                <w:rFonts w:cs="Times New Roman"/>
                <w:bCs/>
                <w:sz w:val="28"/>
                <w:szCs w:val="28"/>
              </w:rPr>
              <w:t>Sở Văn hoá, Thể thao và Du lịch và c</w:t>
            </w:r>
            <w:r w:rsidR="00EE0291" w:rsidRPr="00E53593">
              <w:rPr>
                <w:rFonts w:cs="Times New Roman"/>
                <w:bCs/>
                <w:sz w:val="28"/>
                <w:szCs w:val="28"/>
              </w:rPr>
              <w:t>ác sở, ngành tỉnh và địa phương</w:t>
            </w:r>
            <w:r w:rsidRPr="00E53593">
              <w:rPr>
                <w:rFonts w:cs="Times New Roman"/>
                <w:bCs/>
                <w:sz w:val="28"/>
                <w:szCs w:val="28"/>
              </w:rPr>
              <w:t xml:space="preserve"> có liên quan</w:t>
            </w:r>
          </w:p>
        </w:tc>
        <w:tc>
          <w:tcPr>
            <w:tcW w:w="1440" w:type="dxa"/>
            <w:vAlign w:val="center"/>
          </w:tcPr>
          <w:p w14:paraId="565548BA"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15D93D11" w14:textId="77777777" w:rsidTr="00402B61">
        <w:trPr>
          <w:trHeight w:val="603"/>
          <w:tblHeader/>
        </w:trPr>
        <w:tc>
          <w:tcPr>
            <w:tcW w:w="1028" w:type="dxa"/>
            <w:vAlign w:val="center"/>
          </w:tcPr>
          <w:p w14:paraId="62084CE5" w14:textId="7EBA84BC"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4</w:t>
            </w:r>
          </w:p>
        </w:tc>
        <w:tc>
          <w:tcPr>
            <w:tcW w:w="5627" w:type="dxa"/>
            <w:vAlign w:val="center"/>
          </w:tcPr>
          <w:p w14:paraId="737AC5FB" w14:textId="48E5E873"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Bảo đảm nguồn lực cho phát triển văn hoá; bố trí tối thiểu 2% tổng chi ngân sách nhà nước hằng năm cho văn hoá và tăng dần theo yêu cầu thực tiễn.</w:t>
            </w:r>
          </w:p>
        </w:tc>
        <w:tc>
          <w:tcPr>
            <w:tcW w:w="3780" w:type="dxa"/>
            <w:vAlign w:val="center"/>
          </w:tcPr>
          <w:p w14:paraId="480A1163" w14:textId="72E5E041"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Tài chính</w:t>
            </w:r>
          </w:p>
        </w:tc>
        <w:tc>
          <w:tcPr>
            <w:tcW w:w="2880" w:type="dxa"/>
            <w:vAlign w:val="center"/>
          </w:tcPr>
          <w:p w14:paraId="4549EFB0" w14:textId="57665964"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Sở Văn hóa, Thể thao và Du lịch, các sở, ngành tỉnh và địa phương</w:t>
            </w:r>
            <w:r w:rsidR="003A3064" w:rsidRPr="00E53593">
              <w:rPr>
                <w:rFonts w:cs="Times New Roman"/>
                <w:bCs/>
                <w:sz w:val="28"/>
                <w:szCs w:val="28"/>
              </w:rPr>
              <w:t xml:space="preserve"> </w:t>
            </w:r>
          </w:p>
        </w:tc>
        <w:tc>
          <w:tcPr>
            <w:tcW w:w="1440" w:type="dxa"/>
            <w:vAlign w:val="center"/>
          </w:tcPr>
          <w:p w14:paraId="407CFBEB"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39497831" w14:textId="77777777" w:rsidTr="00402B61">
        <w:trPr>
          <w:trHeight w:val="603"/>
          <w:tblHeader/>
        </w:trPr>
        <w:tc>
          <w:tcPr>
            <w:tcW w:w="1028" w:type="dxa"/>
            <w:vAlign w:val="center"/>
          </w:tcPr>
          <w:p w14:paraId="347BA032" w14:textId="75A690A4"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5</w:t>
            </w:r>
          </w:p>
        </w:tc>
        <w:tc>
          <w:tcPr>
            <w:tcW w:w="5627" w:type="dxa"/>
            <w:vAlign w:val="center"/>
          </w:tcPr>
          <w:p w14:paraId="05BD5B4F" w14:textId="7CCA6A44"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Triển khai các cơ chế, chính sách trong đào tạo và đãi ngộ nhân tài lĩnh vực văn hoá, nghệ thuật; ứng dụng khoa học, công nghệ, chuyển đổi số trong lĩnh vực văn hoá; đặt hàng sáng tạo các công trình văn hoá, tác phẩm văn học, nghệ thuật có giá trị cao về tư tưởng, nội dung và nghệ thuật. Đẩy mạnh xã hội hoá hoạt động văn hoá theo đúng định hướng, hiệu quả.</w:t>
            </w:r>
          </w:p>
        </w:tc>
        <w:tc>
          <w:tcPr>
            <w:tcW w:w="3780" w:type="dxa"/>
            <w:vAlign w:val="center"/>
          </w:tcPr>
          <w:p w14:paraId="4C64A191" w14:textId="4D2F9D7C"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Văn hóa, Thể thao và Du lịch,</w:t>
            </w:r>
            <w:r w:rsidR="003A3064" w:rsidRPr="00E53593">
              <w:rPr>
                <w:rFonts w:cs="Times New Roman"/>
                <w:bCs/>
                <w:sz w:val="28"/>
                <w:szCs w:val="28"/>
              </w:rPr>
              <w:t xml:space="preserve"> Sở Nội vụ,</w:t>
            </w:r>
            <w:r w:rsidRPr="00E53593">
              <w:rPr>
                <w:rFonts w:cs="Times New Roman"/>
                <w:bCs/>
                <w:sz w:val="28"/>
                <w:szCs w:val="28"/>
              </w:rPr>
              <w:t xml:space="preserve"> Sở Khoa học và Công nghệ, Hội Liên hiệp Văn học Nghệ thuật theo chức năng, nhiệm vụ</w:t>
            </w:r>
          </w:p>
        </w:tc>
        <w:tc>
          <w:tcPr>
            <w:tcW w:w="2880" w:type="dxa"/>
            <w:vAlign w:val="center"/>
          </w:tcPr>
          <w:p w14:paraId="4B971689" w14:textId="68F912C8"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Các sở, ngành tỉnh và địa phương</w:t>
            </w:r>
          </w:p>
        </w:tc>
        <w:tc>
          <w:tcPr>
            <w:tcW w:w="1440" w:type="dxa"/>
            <w:vAlign w:val="center"/>
          </w:tcPr>
          <w:p w14:paraId="7E485DF5"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02814FB8" w14:textId="77777777" w:rsidTr="00402B61">
        <w:trPr>
          <w:trHeight w:val="603"/>
          <w:tblHeader/>
        </w:trPr>
        <w:tc>
          <w:tcPr>
            <w:tcW w:w="1028" w:type="dxa"/>
            <w:vAlign w:val="center"/>
          </w:tcPr>
          <w:p w14:paraId="5331C9DD" w14:textId="47656682" w:rsidR="00EE0291" w:rsidRPr="00E53593" w:rsidRDefault="00EE0291" w:rsidP="00154FE3">
            <w:pPr>
              <w:spacing w:after="0" w:line="240" w:lineRule="auto"/>
              <w:contextualSpacing w:val="0"/>
              <w:jc w:val="center"/>
              <w:rPr>
                <w:rFonts w:cs="Times New Roman"/>
                <w:bCs/>
                <w:sz w:val="28"/>
                <w:szCs w:val="28"/>
              </w:rPr>
            </w:pPr>
            <w:r w:rsidRPr="00E53593">
              <w:rPr>
                <w:rFonts w:cs="Times New Roman"/>
                <w:bCs/>
                <w:sz w:val="28"/>
                <w:szCs w:val="28"/>
              </w:rPr>
              <w:t>6</w:t>
            </w:r>
          </w:p>
        </w:tc>
        <w:tc>
          <w:tcPr>
            <w:tcW w:w="5627" w:type="dxa"/>
            <w:vAlign w:val="center"/>
          </w:tcPr>
          <w:p w14:paraId="3819FCE6" w14:textId="63DA2C3D" w:rsidR="00EE0291" w:rsidRPr="00E53593" w:rsidRDefault="00EE0291" w:rsidP="00154FE3">
            <w:pPr>
              <w:spacing w:after="0" w:line="240" w:lineRule="auto"/>
              <w:contextualSpacing w:val="0"/>
              <w:rPr>
                <w:rFonts w:cs="Times New Roman"/>
                <w:b/>
                <w:sz w:val="28"/>
                <w:szCs w:val="28"/>
              </w:rPr>
            </w:pPr>
            <w:r w:rsidRPr="00E53593">
              <w:rPr>
                <w:rFonts w:eastAsia="Calibri" w:cs="Times New Roman"/>
                <w:bCs/>
                <w:iCs/>
                <w:color w:val="000000"/>
                <w:spacing w:val="4"/>
                <w:sz w:val="28"/>
                <w:szCs w:val="28"/>
                <w14:ligatures w14:val="standardContextual"/>
              </w:rPr>
              <w:t>Phấn đấu hoàn thành hồ sơ khoa học đề nghị UNESCO công nhận di sản văn hoá</w:t>
            </w:r>
            <w:r w:rsidRPr="00E53593">
              <w:rPr>
                <w:rFonts w:eastAsia="Calibri" w:cs="Times New Roman"/>
                <w:bCs/>
                <w:iCs/>
                <w:color w:val="000000"/>
                <w:sz w:val="28"/>
                <w:szCs w:val="28"/>
                <w14:ligatures w14:val="standardContextual"/>
              </w:rPr>
              <w:t xml:space="preserve"> thế giới đối với Văn hoá Óc Eo tại Khu di tích quốc gia đặc biệt Gò Tháp.</w:t>
            </w:r>
          </w:p>
        </w:tc>
        <w:tc>
          <w:tcPr>
            <w:tcW w:w="3780" w:type="dxa"/>
            <w:vAlign w:val="center"/>
          </w:tcPr>
          <w:p w14:paraId="5807E6AF" w14:textId="6EB3D188" w:rsidR="00EE0291" w:rsidRPr="00E53593" w:rsidRDefault="00EE0291" w:rsidP="00154FE3">
            <w:pPr>
              <w:spacing w:after="0" w:line="240" w:lineRule="auto"/>
              <w:contextualSpacing w:val="0"/>
              <w:rPr>
                <w:rFonts w:cs="Times New Roman"/>
                <w:b/>
                <w:sz w:val="28"/>
                <w:szCs w:val="28"/>
              </w:rPr>
            </w:pPr>
            <w:r w:rsidRPr="00E53593">
              <w:rPr>
                <w:rFonts w:cs="Times New Roman"/>
                <w:bCs/>
                <w:sz w:val="28"/>
                <w:szCs w:val="28"/>
              </w:rPr>
              <w:t>Sở Văn hóa, Thể thao và Du lịch</w:t>
            </w:r>
          </w:p>
        </w:tc>
        <w:tc>
          <w:tcPr>
            <w:tcW w:w="2880" w:type="dxa"/>
            <w:vAlign w:val="center"/>
          </w:tcPr>
          <w:p w14:paraId="4229AD54" w14:textId="16BF8010" w:rsidR="00EE0291" w:rsidRPr="00E53593" w:rsidRDefault="00EE0291" w:rsidP="00154FE3">
            <w:pPr>
              <w:spacing w:after="0" w:line="240" w:lineRule="auto"/>
              <w:contextualSpacing w:val="0"/>
              <w:rPr>
                <w:rFonts w:cs="Times New Roman"/>
                <w:b/>
                <w:sz w:val="28"/>
                <w:szCs w:val="28"/>
              </w:rPr>
            </w:pPr>
            <w:r w:rsidRPr="00E53593">
              <w:rPr>
                <w:rFonts w:cs="Times New Roman"/>
                <w:bCs/>
                <w:sz w:val="28"/>
                <w:szCs w:val="28"/>
              </w:rPr>
              <w:t>Các sở, ngành tỉnh và địa phương</w:t>
            </w:r>
            <w:r w:rsidR="00154FE3" w:rsidRPr="00E53593">
              <w:rPr>
                <w:rFonts w:cs="Times New Roman"/>
                <w:bCs/>
                <w:sz w:val="28"/>
                <w:szCs w:val="28"/>
              </w:rPr>
              <w:t xml:space="preserve"> có</w:t>
            </w:r>
            <w:r w:rsidR="003A3064" w:rsidRPr="00E53593">
              <w:rPr>
                <w:rFonts w:cs="Times New Roman"/>
                <w:bCs/>
                <w:sz w:val="28"/>
                <w:szCs w:val="28"/>
              </w:rPr>
              <w:t xml:space="preserve"> liên quan</w:t>
            </w:r>
          </w:p>
        </w:tc>
        <w:tc>
          <w:tcPr>
            <w:tcW w:w="1440" w:type="dxa"/>
            <w:vAlign w:val="center"/>
          </w:tcPr>
          <w:p w14:paraId="53EB3C9E" w14:textId="77777777" w:rsidR="00EE0291" w:rsidRPr="00E53593" w:rsidRDefault="00EE0291" w:rsidP="00154FE3">
            <w:pPr>
              <w:spacing w:after="0" w:line="240" w:lineRule="auto"/>
              <w:contextualSpacing w:val="0"/>
              <w:jc w:val="center"/>
              <w:rPr>
                <w:rFonts w:cs="Times New Roman"/>
                <w:b/>
                <w:sz w:val="28"/>
                <w:szCs w:val="28"/>
              </w:rPr>
            </w:pPr>
          </w:p>
        </w:tc>
      </w:tr>
      <w:tr w:rsidR="00EE0291" w:rsidRPr="00E53593" w14:paraId="2984A409" w14:textId="77777777" w:rsidTr="00402B61">
        <w:trPr>
          <w:trHeight w:val="603"/>
          <w:tblHeader/>
        </w:trPr>
        <w:tc>
          <w:tcPr>
            <w:tcW w:w="1028" w:type="dxa"/>
            <w:vAlign w:val="center"/>
          </w:tcPr>
          <w:p w14:paraId="1CE6AFD8" w14:textId="5FE0E0DA"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7</w:t>
            </w:r>
          </w:p>
        </w:tc>
        <w:tc>
          <w:tcPr>
            <w:tcW w:w="5627" w:type="dxa"/>
            <w:vAlign w:val="center"/>
          </w:tcPr>
          <w:p w14:paraId="58F4AFA8" w14:textId="7CAC71E0" w:rsidR="00EE0291" w:rsidRPr="00E53593" w:rsidRDefault="009B5524" w:rsidP="00EE0291">
            <w:pPr>
              <w:spacing w:before="120" w:line="240" w:lineRule="auto"/>
              <w:contextualSpacing w:val="0"/>
              <w:rPr>
                <w:rFonts w:cs="Times New Roman"/>
                <w:bCs/>
                <w:sz w:val="28"/>
                <w:szCs w:val="28"/>
              </w:rPr>
            </w:pPr>
            <w:r>
              <w:rPr>
                <w:rFonts w:cs="Times New Roman"/>
                <w:bCs/>
                <w:sz w:val="28"/>
                <w:szCs w:val="28"/>
              </w:rPr>
              <w:t xml:space="preserve">- </w:t>
            </w:r>
            <w:r w:rsidR="00EE0291" w:rsidRPr="00E53593">
              <w:rPr>
                <w:rFonts w:cs="Times New Roman"/>
                <w:bCs/>
                <w:sz w:val="28"/>
                <w:szCs w:val="28"/>
              </w:rPr>
              <w:t>Phấn đấu hoàn thành hồ sơ khoa học đề nghị xếp hạng 01 di tích quốc gia đặc biệt</w:t>
            </w:r>
            <w:r w:rsidR="009E52B2" w:rsidRPr="00E53593">
              <w:rPr>
                <w:rFonts w:cs="Times New Roman"/>
                <w:bCs/>
                <w:sz w:val="28"/>
                <w:szCs w:val="28"/>
              </w:rPr>
              <w:t xml:space="preserve"> (di tích quốc gia Đình Long Hưng)</w:t>
            </w:r>
            <w:r w:rsidR="00EE0291" w:rsidRPr="00E53593">
              <w:rPr>
                <w:rFonts w:cs="Times New Roman"/>
                <w:bCs/>
                <w:sz w:val="28"/>
                <w:szCs w:val="28"/>
              </w:rPr>
              <w:t>.</w:t>
            </w:r>
          </w:p>
        </w:tc>
        <w:tc>
          <w:tcPr>
            <w:tcW w:w="3780" w:type="dxa"/>
            <w:vAlign w:val="center"/>
          </w:tcPr>
          <w:p w14:paraId="3E03B718" w14:textId="22F45769"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Văn hóa, Thể thao và Du lịch</w:t>
            </w:r>
          </w:p>
        </w:tc>
        <w:tc>
          <w:tcPr>
            <w:tcW w:w="2880" w:type="dxa"/>
            <w:vAlign w:val="center"/>
          </w:tcPr>
          <w:p w14:paraId="2F93DF3F" w14:textId="3DAF3CB2"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Các sở, ngành tỉnh và địa phương</w:t>
            </w:r>
            <w:r w:rsidR="003A3064" w:rsidRPr="00E53593">
              <w:rPr>
                <w:rFonts w:cs="Times New Roman"/>
                <w:bCs/>
                <w:sz w:val="28"/>
                <w:szCs w:val="28"/>
              </w:rPr>
              <w:t xml:space="preserve"> có liên quan</w:t>
            </w:r>
          </w:p>
        </w:tc>
        <w:tc>
          <w:tcPr>
            <w:tcW w:w="1440" w:type="dxa"/>
            <w:vAlign w:val="center"/>
          </w:tcPr>
          <w:p w14:paraId="56E85152"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371933E3" w14:textId="77777777" w:rsidTr="00402B61">
        <w:trPr>
          <w:trHeight w:val="603"/>
          <w:tblHeader/>
        </w:trPr>
        <w:tc>
          <w:tcPr>
            <w:tcW w:w="1028" w:type="dxa"/>
            <w:vAlign w:val="center"/>
          </w:tcPr>
          <w:p w14:paraId="490FED67" w14:textId="446E87BB"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lastRenderedPageBreak/>
              <w:t>8</w:t>
            </w:r>
          </w:p>
        </w:tc>
        <w:tc>
          <w:tcPr>
            <w:tcW w:w="5627" w:type="dxa"/>
            <w:vAlign w:val="center"/>
          </w:tcPr>
          <w:p w14:paraId="031369FB" w14:textId="55B69C98"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 Định hướng phát triển các ngành công nghiệp văn hoá mà tỉnh có thế mạnh như: Du lịch văn hoá, lễ hội, thủ công truyền thống, ẩm thực</w:t>
            </w:r>
          </w:p>
        </w:tc>
        <w:tc>
          <w:tcPr>
            <w:tcW w:w="3780" w:type="dxa"/>
            <w:vAlign w:val="center"/>
          </w:tcPr>
          <w:p w14:paraId="1AD56255" w14:textId="1C19FA0C"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Văn hóa, Thể thao và Du lịch; Sở Công thương; Sở Nông nghiệp và Môi trường theo chức năng, nhiệm vụ</w:t>
            </w:r>
          </w:p>
        </w:tc>
        <w:tc>
          <w:tcPr>
            <w:tcW w:w="2880" w:type="dxa"/>
            <w:vAlign w:val="center"/>
          </w:tcPr>
          <w:p w14:paraId="072A0770" w14:textId="16EFEAB7"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Các sở, ngành tỉnh và địa phương</w:t>
            </w:r>
            <w:r w:rsidR="003A3064" w:rsidRPr="00E53593">
              <w:rPr>
                <w:rFonts w:cs="Times New Roman"/>
                <w:bCs/>
                <w:sz w:val="28"/>
                <w:szCs w:val="28"/>
              </w:rPr>
              <w:t xml:space="preserve"> có liên quan</w:t>
            </w:r>
          </w:p>
        </w:tc>
        <w:tc>
          <w:tcPr>
            <w:tcW w:w="1440" w:type="dxa"/>
            <w:vAlign w:val="center"/>
          </w:tcPr>
          <w:p w14:paraId="726C12C6"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089DBF0B" w14:textId="77777777" w:rsidTr="00402B61">
        <w:trPr>
          <w:trHeight w:val="603"/>
          <w:tblHeader/>
        </w:trPr>
        <w:tc>
          <w:tcPr>
            <w:tcW w:w="1028" w:type="dxa"/>
            <w:vAlign w:val="center"/>
          </w:tcPr>
          <w:p w14:paraId="31C507C4" w14:textId="6E663937"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9</w:t>
            </w:r>
          </w:p>
        </w:tc>
        <w:tc>
          <w:tcPr>
            <w:tcW w:w="5627" w:type="dxa"/>
            <w:vAlign w:val="center"/>
          </w:tcPr>
          <w:p w14:paraId="6EC7C1A4" w14:textId="4B1D06D2"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Phấn đấu nâng cấp một Lễ hội cấp tỉnh thành cấp khu vực.</w:t>
            </w:r>
          </w:p>
        </w:tc>
        <w:tc>
          <w:tcPr>
            <w:tcW w:w="3780" w:type="dxa"/>
            <w:vAlign w:val="center"/>
          </w:tcPr>
          <w:p w14:paraId="005CAFD0" w14:textId="12BE4BAC" w:rsidR="00EE0291" w:rsidRPr="00E53593" w:rsidRDefault="00EE0291" w:rsidP="00044326">
            <w:pPr>
              <w:spacing w:before="120" w:line="240" w:lineRule="auto"/>
              <w:contextualSpacing w:val="0"/>
              <w:rPr>
                <w:rFonts w:cs="Times New Roman"/>
                <w:bCs/>
                <w:sz w:val="28"/>
                <w:szCs w:val="28"/>
              </w:rPr>
            </w:pPr>
            <w:r w:rsidRPr="00E53593">
              <w:rPr>
                <w:rFonts w:cs="Times New Roman"/>
                <w:bCs/>
                <w:sz w:val="28"/>
                <w:szCs w:val="28"/>
              </w:rPr>
              <w:t>Sở Văn hóa, Thể thao và Du lịch; Sở Nông nghiệp và Môi trườ</w:t>
            </w:r>
            <w:r w:rsidR="00044326" w:rsidRPr="00E53593">
              <w:rPr>
                <w:rFonts w:cs="Times New Roman"/>
                <w:bCs/>
                <w:sz w:val="28"/>
                <w:szCs w:val="28"/>
              </w:rPr>
              <w:t xml:space="preserve">ng </w:t>
            </w:r>
            <w:r w:rsidRPr="00E53593">
              <w:rPr>
                <w:rFonts w:cs="Times New Roman"/>
                <w:bCs/>
                <w:sz w:val="28"/>
                <w:szCs w:val="28"/>
              </w:rPr>
              <w:t>theo chức năng, nhiệm vụ</w:t>
            </w:r>
          </w:p>
        </w:tc>
        <w:tc>
          <w:tcPr>
            <w:tcW w:w="2880" w:type="dxa"/>
            <w:vAlign w:val="center"/>
          </w:tcPr>
          <w:p w14:paraId="7ED15C28" w14:textId="25523738"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Các sở, ngành tỉnh và địa phương</w:t>
            </w:r>
            <w:r w:rsidR="003A3064" w:rsidRPr="00E53593">
              <w:rPr>
                <w:rFonts w:cs="Times New Roman"/>
                <w:bCs/>
                <w:sz w:val="28"/>
                <w:szCs w:val="28"/>
              </w:rPr>
              <w:t xml:space="preserve"> có liên quan</w:t>
            </w:r>
          </w:p>
        </w:tc>
        <w:tc>
          <w:tcPr>
            <w:tcW w:w="1440" w:type="dxa"/>
            <w:vAlign w:val="center"/>
          </w:tcPr>
          <w:p w14:paraId="40C96112"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31F6D0FA" w14:textId="77777777" w:rsidTr="00402B61">
        <w:trPr>
          <w:trHeight w:val="603"/>
          <w:tblHeader/>
        </w:trPr>
        <w:tc>
          <w:tcPr>
            <w:tcW w:w="1028" w:type="dxa"/>
            <w:vAlign w:val="center"/>
          </w:tcPr>
          <w:p w14:paraId="0FB6CF88" w14:textId="48ED9794"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10</w:t>
            </w:r>
          </w:p>
        </w:tc>
        <w:tc>
          <w:tcPr>
            <w:tcW w:w="5627" w:type="dxa"/>
            <w:vAlign w:val="center"/>
          </w:tcPr>
          <w:p w14:paraId="73445A89" w14:textId="0D898B47"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Đến năm 2030, 100% di sản văn hoá cấp quốc gia, cấp quốc gia đặc biệt của tỉnh có sản phẩm truyền thông số (video, podcast, đồ hoạ, dữ liệu số, trải nghiệm số).</w:t>
            </w:r>
          </w:p>
        </w:tc>
        <w:tc>
          <w:tcPr>
            <w:tcW w:w="3780" w:type="dxa"/>
            <w:vAlign w:val="center"/>
          </w:tcPr>
          <w:p w14:paraId="20523A93" w14:textId="3FDCFEB6" w:rsidR="00EE0291" w:rsidRPr="00E53593" w:rsidRDefault="00EE0291" w:rsidP="00402B61">
            <w:pPr>
              <w:spacing w:before="120" w:line="240" w:lineRule="auto"/>
              <w:contextualSpacing w:val="0"/>
              <w:rPr>
                <w:rFonts w:cs="Times New Roman"/>
                <w:bCs/>
                <w:sz w:val="28"/>
                <w:szCs w:val="28"/>
              </w:rPr>
            </w:pPr>
            <w:r w:rsidRPr="00E53593">
              <w:rPr>
                <w:rFonts w:cs="Times New Roman"/>
                <w:bCs/>
                <w:sz w:val="28"/>
                <w:szCs w:val="28"/>
              </w:rPr>
              <w:t>Sở Văn hóa, Thể thao và Du lịch</w:t>
            </w:r>
          </w:p>
        </w:tc>
        <w:tc>
          <w:tcPr>
            <w:tcW w:w="2880" w:type="dxa"/>
            <w:vAlign w:val="center"/>
          </w:tcPr>
          <w:p w14:paraId="0D9DD62C" w14:textId="56F132E4"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Sở Khoa học và Công nghệ, Báo và phát thanh truyền hình Đồng Tháp, các sở, ngành tỉnh và địa phương</w:t>
            </w:r>
          </w:p>
        </w:tc>
        <w:tc>
          <w:tcPr>
            <w:tcW w:w="1440" w:type="dxa"/>
            <w:vAlign w:val="center"/>
          </w:tcPr>
          <w:p w14:paraId="7B2E155F" w14:textId="77777777" w:rsidR="00EE0291" w:rsidRPr="00E53593" w:rsidRDefault="00EE0291" w:rsidP="00A23A72">
            <w:pPr>
              <w:spacing w:after="0" w:line="240" w:lineRule="auto"/>
              <w:contextualSpacing w:val="0"/>
              <w:jc w:val="center"/>
              <w:rPr>
                <w:rFonts w:cs="Times New Roman"/>
                <w:bCs/>
                <w:sz w:val="28"/>
                <w:szCs w:val="28"/>
              </w:rPr>
            </w:pPr>
          </w:p>
        </w:tc>
      </w:tr>
      <w:tr w:rsidR="00EE0291" w:rsidRPr="00E53593" w14:paraId="6D2EEF6D" w14:textId="77777777" w:rsidTr="00402B61">
        <w:trPr>
          <w:trHeight w:val="603"/>
          <w:tblHeader/>
        </w:trPr>
        <w:tc>
          <w:tcPr>
            <w:tcW w:w="1028" w:type="dxa"/>
            <w:vAlign w:val="center"/>
          </w:tcPr>
          <w:p w14:paraId="49B83203" w14:textId="6381EEAC" w:rsidR="00EE0291" w:rsidRPr="00E53593" w:rsidRDefault="00EE0291" w:rsidP="00030266">
            <w:pPr>
              <w:spacing w:after="0" w:line="240" w:lineRule="auto"/>
              <w:contextualSpacing w:val="0"/>
              <w:jc w:val="center"/>
              <w:rPr>
                <w:rFonts w:cs="Times New Roman"/>
                <w:bCs/>
                <w:sz w:val="28"/>
                <w:szCs w:val="28"/>
              </w:rPr>
            </w:pPr>
            <w:r w:rsidRPr="00E53593">
              <w:rPr>
                <w:rFonts w:cs="Times New Roman"/>
                <w:bCs/>
                <w:sz w:val="28"/>
                <w:szCs w:val="28"/>
              </w:rPr>
              <w:t>11</w:t>
            </w:r>
          </w:p>
        </w:tc>
        <w:tc>
          <w:tcPr>
            <w:tcW w:w="5627" w:type="dxa"/>
            <w:vAlign w:val="center"/>
          </w:tcPr>
          <w:p w14:paraId="3A6369D1" w14:textId="69D1140F" w:rsidR="00EE0291" w:rsidRPr="00E53593" w:rsidRDefault="00EE0291" w:rsidP="00EE0291">
            <w:pPr>
              <w:spacing w:before="120" w:line="240" w:lineRule="auto"/>
              <w:contextualSpacing w:val="0"/>
              <w:rPr>
                <w:rFonts w:cs="Times New Roman"/>
                <w:bCs/>
                <w:sz w:val="28"/>
                <w:szCs w:val="28"/>
              </w:rPr>
            </w:pPr>
            <w:r w:rsidRPr="00E53593">
              <w:rPr>
                <w:rFonts w:cs="Times New Roman"/>
                <w:bCs/>
                <w:sz w:val="28"/>
                <w:szCs w:val="28"/>
              </w:rPr>
              <w:t>Mỗi năm có sản xuất các phim tài liệu, phóng sự, series số về văn hoá, con người Đồng Tháp, nêu bật được đặc trưng, vị thế, giá trị nổi bật của địa phương.</w:t>
            </w:r>
          </w:p>
        </w:tc>
        <w:tc>
          <w:tcPr>
            <w:tcW w:w="3780" w:type="dxa"/>
            <w:vAlign w:val="center"/>
          </w:tcPr>
          <w:p w14:paraId="12DF50C5" w14:textId="498B62BC" w:rsidR="00EE0291" w:rsidRPr="00E53593" w:rsidRDefault="00E53593" w:rsidP="00402B61">
            <w:pPr>
              <w:spacing w:before="120" w:line="240" w:lineRule="auto"/>
              <w:contextualSpacing w:val="0"/>
              <w:rPr>
                <w:rFonts w:cs="Times New Roman"/>
                <w:bCs/>
                <w:sz w:val="28"/>
                <w:szCs w:val="28"/>
              </w:rPr>
            </w:pPr>
            <w:r>
              <w:rPr>
                <w:rFonts w:cs="Times New Roman"/>
                <w:bCs/>
                <w:sz w:val="28"/>
                <w:szCs w:val="28"/>
              </w:rPr>
              <w:t>Báo và p</w:t>
            </w:r>
            <w:r w:rsidR="00EE0291" w:rsidRPr="00E53593">
              <w:rPr>
                <w:rFonts w:cs="Times New Roman"/>
                <w:bCs/>
                <w:sz w:val="28"/>
                <w:szCs w:val="28"/>
              </w:rPr>
              <w:t>hát thanh, truyền hình Đồng Tháp</w:t>
            </w:r>
          </w:p>
        </w:tc>
        <w:tc>
          <w:tcPr>
            <w:tcW w:w="2880" w:type="dxa"/>
            <w:vAlign w:val="center"/>
          </w:tcPr>
          <w:p w14:paraId="1C2A40E1" w14:textId="5677E94B" w:rsidR="00EE0291" w:rsidRPr="00E53593" w:rsidRDefault="00EE0291" w:rsidP="00402B61">
            <w:pPr>
              <w:spacing w:after="0" w:line="240" w:lineRule="auto"/>
              <w:contextualSpacing w:val="0"/>
              <w:rPr>
                <w:rFonts w:cs="Times New Roman"/>
                <w:bCs/>
                <w:sz w:val="28"/>
                <w:szCs w:val="28"/>
              </w:rPr>
            </w:pPr>
            <w:r w:rsidRPr="00E53593">
              <w:rPr>
                <w:rFonts w:cs="Times New Roman"/>
                <w:bCs/>
                <w:sz w:val="28"/>
                <w:szCs w:val="28"/>
              </w:rPr>
              <w:t>Các sở, ngành tỉnh và địa phương</w:t>
            </w:r>
            <w:r w:rsidR="003A3064" w:rsidRPr="00E53593">
              <w:rPr>
                <w:rFonts w:cs="Times New Roman"/>
                <w:bCs/>
                <w:sz w:val="28"/>
                <w:szCs w:val="28"/>
              </w:rPr>
              <w:t xml:space="preserve"> có liên quan</w:t>
            </w:r>
          </w:p>
        </w:tc>
        <w:tc>
          <w:tcPr>
            <w:tcW w:w="1440" w:type="dxa"/>
            <w:vAlign w:val="center"/>
          </w:tcPr>
          <w:p w14:paraId="1C07AAC4" w14:textId="77777777" w:rsidR="00EE0291" w:rsidRPr="00E53593" w:rsidRDefault="00EE0291" w:rsidP="00A23A72">
            <w:pPr>
              <w:spacing w:after="0" w:line="240" w:lineRule="auto"/>
              <w:contextualSpacing w:val="0"/>
              <w:jc w:val="center"/>
              <w:rPr>
                <w:rFonts w:cs="Times New Roman"/>
                <w:bCs/>
                <w:sz w:val="28"/>
                <w:szCs w:val="28"/>
              </w:rPr>
            </w:pPr>
          </w:p>
        </w:tc>
      </w:tr>
    </w:tbl>
    <w:p w14:paraId="59D97589" w14:textId="77777777" w:rsidR="00FA44D5" w:rsidRPr="00E53593" w:rsidRDefault="00FA44D5" w:rsidP="00FA44D5">
      <w:pPr>
        <w:spacing w:after="0" w:line="240" w:lineRule="auto"/>
        <w:contextualSpacing w:val="0"/>
        <w:jc w:val="center"/>
        <w:rPr>
          <w:rFonts w:cs="Times New Roman"/>
          <w:i/>
          <w:sz w:val="28"/>
          <w:szCs w:val="28"/>
        </w:rPr>
      </w:pPr>
    </w:p>
    <w:sectPr w:rsidR="00FA44D5" w:rsidRPr="00E53593" w:rsidSect="00791FAC">
      <w:headerReference w:type="default" r:id="rId6"/>
      <w:headerReference w:type="firs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F9C7" w14:textId="77777777" w:rsidR="00B136FE" w:rsidRDefault="00B136FE" w:rsidP="0049397D">
      <w:pPr>
        <w:spacing w:after="0" w:line="240" w:lineRule="auto"/>
      </w:pPr>
      <w:r>
        <w:separator/>
      </w:r>
    </w:p>
  </w:endnote>
  <w:endnote w:type="continuationSeparator" w:id="0">
    <w:p w14:paraId="77F7EF5B" w14:textId="77777777" w:rsidR="00B136FE" w:rsidRDefault="00B136FE" w:rsidP="0049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5544C" w14:textId="77777777" w:rsidR="00B136FE" w:rsidRDefault="00B136FE" w:rsidP="0049397D">
      <w:pPr>
        <w:spacing w:after="0" w:line="240" w:lineRule="auto"/>
      </w:pPr>
      <w:r>
        <w:separator/>
      </w:r>
    </w:p>
  </w:footnote>
  <w:footnote w:type="continuationSeparator" w:id="0">
    <w:p w14:paraId="7CA8425B" w14:textId="77777777" w:rsidR="00B136FE" w:rsidRDefault="00B136FE" w:rsidP="0049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043891"/>
      <w:docPartObj>
        <w:docPartGallery w:val="Page Numbers (Top of Page)"/>
        <w:docPartUnique/>
      </w:docPartObj>
    </w:sdtPr>
    <w:sdtEndPr>
      <w:rPr>
        <w:noProof/>
      </w:rPr>
    </w:sdtEndPr>
    <w:sdtContent>
      <w:p w14:paraId="4B42542F" w14:textId="576A9C78" w:rsidR="0049397D" w:rsidRDefault="0049397D">
        <w:pPr>
          <w:pStyle w:val="Header"/>
          <w:jc w:val="center"/>
        </w:pPr>
        <w:r>
          <w:fldChar w:fldCharType="begin"/>
        </w:r>
        <w:r>
          <w:instrText xml:space="preserve"> PAGE   \* MERGEFORMAT </w:instrText>
        </w:r>
        <w:r>
          <w:fldChar w:fldCharType="separate"/>
        </w:r>
        <w:r w:rsidR="00E53593">
          <w:rPr>
            <w:noProof/>
          </w:rPr>
          <w:t>3</w:t>
        </w:r>
        <w:r>
          <w:rPr>
            <w:noProof/>
          </w:rPr>
          <w:fldChar w:fldCharType="end"/>
        </w:r>
      </w:p>
    </w:sdtContent>
  </w:sdt>
  <w:p w14:paraId="4AA46E3C" w14:textId="77777777" w:rsidR="0049397D" w:rsidRDefault="00493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9240" w14:textId="77777777" w:rsidR="00EE0291" w:rsidRPr="00EE0291" w:rsidRDefault="00EE0291" w:rsidP="00EE0291">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D5"/>
    <w:rsid w:val="00005577"/>
    <w:rsid w:val="000076D2"/>
    <w:rsid w:val="00030266"/>
    <w:rsid w:val="00044326"/>
    <w:rsid w:val="000D6B53"/>
    <w:rsid w:val="000E33AF"/>
    <w:rsid w:val="000E3C92"/>
    <w:rsid w:val="0011342A"/>
    <w:rsid w:val="001359AF"/>
    <w:rsid w:val="00154FE3"/>
    <w:rsid w:val="00173369"/>
    <w:rsid w:val="0017605B"/>
    <w:rsid w:val="001A44C3"/>
    <w:rsid w:val="001A5F20"/>
    <w:rsid w:val="001E1A85"/>
    <w:rsid w:val="00240948"/>
    <w:rsid w:val="002B27EF"/>
    <w:rsid w:val="002C6D63"/>
    <w:rsid w:val="00313F21"/>
    <w:rsid w:val="00325311"/>
    <w:rsid w:val="003A3064"/>
    <w:rsid w:val="003B7FDF"/>
    <w:rsid w:val="003C2D50"/>
    <w:rsid w:val="003C3644"/>
    <w:rsid w:val="003D4248"/>
    <w:rsid w:val="00402B61"/>
    <w:rsid w:val="00453736"/>
    <w:rsid w:val="0047113E"/>
    <w:rsid w:val="0048311E"/>
    <w:rsid w:val="00487839"/>
    <w:rsid w:val="0049397D"/>
    <w:rsid w:val="004973CD"/>
    <w:rsid w:val="004B0FB7"/>
    <w:rsid w:val="004D5C6C"/>
    <w:rsid w:val="0051009D"/>
    <w:rsid w:val="00514894"/>
    <w:rsid w:val="005240A4"/>
    <w:rsid w:val="005251DE"/>
    <w:rsid w:val="00543B66"/>
    <w:rsid w:val="00555F28"/>
    <w:rsid w:val="00570ACA"/>
    <w:rsid w:val="00580195"/>
    <w:rsid w:val="00621579"/>
    <w:rsid w:val="00622028"/>
    <w:rsid w:val="00641D92"/>
    <w:rsid w:val="00661608"/>
    <w:rsid w:val="00674D50"/>
    <w:rsid w:val="00685218"/>
    <w:rsid w:val="006B2D89"/>
    <w:rsid w:val="006C5C3E"/>
    <w:rsid w:val="006E1977"/>
    <w:rsid w:val="00725359"/>
    <w:rsid w:val="00725CD5"/>
    <w:rsid w:val="00754F44"/>
    <w:rsid w:val="00783F54"/>
    <w:rsid w:val="0079120D"/>
    <w:rsid w:val="00791FAC"/>
    <w:rsid w:val="007940D0"/>
    <w:rsid w:val="007A0B55"/>
    <w:rsid w:val="007D792A"/>
    <w:rsid w:val="00803CEE"/>
    <w:rsid w:val="008367BD"/>
    <w:rsid w:val="00870CF1"/>
    <w:rsid w:val="00896F41"/>
    <w:rsid w:val="00992A34"/>
    <w:rsid w:val="009A3AC5"/>
    <w:rsid w:val="009B5524"/>
    <w:rsid w:val="009C2FB3"/>
    <w:rsid w:val="009E52B2"/>
    <w:rsid w:val="009F069D"/>
    <w:rsid w:val="00A028C2"/>
    <w:rsid w:val="00A037C5"/>
    <w:rsid w:val="00A05ADD"/>
    <w:rsid w:val="00A23A72"/>
    <w:rsid w:val="00A24609"/>
    <w:rsid w:val="00A62332"/>
    <w:rsid w:val="00A6236E"/>
    <w:rsid w:val="00A6519D"/>
    <w:rsid w:val="00AA562F"/>
    <w:rsid w:val="00AD3E78"/>
    <w:rsid w:val="00AE5C61"/>
    <w:rsid w:val="00AF4B51"/>
    <w:rsid w:val="00B133A6"/>
    <w:rsid w:val="00B136FE"/>
    <w:rsid w:val="00B26627"/>
    <w:rsid w:val="00B3284D"/>
    <w:rsid w:val="00B71060"/>
    <w:rsid w:val="00BB1CBC"/>
    <w:rsid w:val="00BB71A7"/>
    <w:rsid w:val="00BD7014"/>
    <w:rsid w:val="00C00561"/>
    <w:rsid w:val="00C17BAF"/>
    <w:rsid w:val="00C424E7"/>
    <w:rsid w:val="00C43963"/>
    <w:rsid w:val="00C71C43"/>
    <w:rsid w:val="00C72F37"/>
    <w:rsid w:val="00CC6A79"/>
    <w:rsid w:val="00CE2782"/>
    <w:rsid w:val="00CF258A"/>
    <w:rsid w:val="00D31A3C"/>
    <w:rsid w:val="00D423BB"/>
    <w:rsid w:val="00DC3941"/>
    <w:rsid w:val="00DE1267"/>
    <w:rsid w:val="00DE6DCB"/>
    <w:rsid w:val="00DF1D9F"/>
    <w:rsid w:val="00E0322C"/>
    <w:rsid w:val="00E2178F"/>
    <w:rsid w:val="00E53593"/>
    <w:rsid w:val="00E708F0"/>
    <w:rsid w:val="00E70A55"/>
    <w:rsid w:val="00E7193F"/>
    <w:rsid w:val="00EC2027"/>
    <w:rsid w:val="00EC311E"/>
    <w:rsid w:val="00ED3829"/>
    <w:rsid w:val="00EE0291"/>
    <w:rsid w:val="00F87A8D"/>
    <w:rsid w:val="00F9430C"/>
    <w:rsid w:val="00F972BF"/>
    <w:rsid w:val="00FA44D5"/>
    <w:rsid w:val="00FB7F56"/>
    <w:rsid w:val="00FC31DF"/>
    <w:rsid w:val="00FC487F"/>
    <w:rsid w:val="00FC6902"/>
    <w:rsid w:val="00FD5F0C"/>
    <w:rsid w:val="00FE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D6F0"/>
  <w15:chartTrackingRefBased/>
  <w15:docId w15:val="{F212B9F7-AF4F-4C12-9972-337EFCC8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F"/>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C17BAF"/>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17BAF"/>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17BA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C17BA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BA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17BA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17BA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C17BAF"/>
    <w:rPr>
      <w:rFonts w:ascii="Times New Roman" w:eastAsiaTheme="majorEastAsia" w:hAnsi="Times New Roman" w:cstheme="majorBidi"/>
      <w:i/>
      <w:iCs/>
      <w:sz w:val="26"/>
    </w:rPr>
  </w:style>
  <w:style w:type="table" w:styleId="TableGrid">
    <w:name w:val="Table Grid"/>
    <w:basedOn w:val="TableNormal"/>
    <w:uiPriority w:val="39"/>
    <w:rsid w:val="00FA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028"/>
    <w:pPr>
      <w:ind w:left="720"/>
    </w:pPr>
  </w:style>
  <w:style w:type="paragraph" w:styleId="Header">
    <w:name w:val="header"/>
    <w:basedOn w:val="Normal"/>
    <w:link w:val="HeaderChar"/>
    <w:uiPriority w:val="99"/>
    <w:unhideWhenUsed/>
    <w:rsid w:val="0049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97D"/>
    <w:rPr>
      <w:rFonts w:ascii="Times New Roman" w:hAnsi="Times New Roman"/>
      <w:sz w:val="26"/>
    </w:rPr>
  </w:style>
  <w:style w:type="paragraph" w:styleId="Footer">
    <w:name w:val="footer"/>
    <w:basedOn w:val="Normal"/>
    <w:link w:val="FooterChar"/>
    <w:uiPriority w:val="99"/>
    <w:unhideWhenUsed/>
    <w:rsid w:val="0049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97D"/>
    <w:rPr>
      <w:rFonts w:ascii="Times New Roman" w:hAnsi="Times New Roman"/>
      <w:sz w:val="26"/>
    </w:rPr>
  </w:style>
  <w:style w:type="paragraph" w:styleId="BalloonText">
    <w:name w:val="Balloon Text"/>
    <w:basedOn w:val="Normal"/>
    <w:link w:val="BalloonTextChar"/>
    <w:uiPriority w:val="99"/>
    <w:semiHidden/>
    <w:unhideWhenUsed/>
    <w:rsid w:val="00E03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VPSYT</cp:lastModifiedBy>
  <cp:revision>2</cp:revision>
  <cp:lastPrinted>2026-05-06T01:37:00Z</cp:lastPrinted>
  <dcterms:created xsi:type="dcterms:W3CDTF">2026-06-01T08:56:00Z</dcterms:created>
  <dcterms:modified xsi:type="dcterms:W3CDTF">2026-06-01T08:56:00Z</dcterms:modified>
</cp:coreProperties>
</file>